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Lines w:val="0"/>
        <w:widowControl w:val="0"/>
        <w:spacing w:after="0" w:before="240" w:line="276" w:lineRule="auto"/>
        <w:ind w:right="18"/>
        <w:jc w:val="center"/>
        <w:rPr>
          <w:rFonts w:ascii="Times New Roman" w:cs="Times New Roman" w:eastAsia="Times New Roman" w:hAnsi="Times New Roman"/>
          <w:b w:val="1"/>
          <w:bCs w:val="1"/>
          <w:sz w:val="24"/>
          <w:szCs w:val="24"/>
        </w:rPr>
      </w:pPr>
      <w:bookmarkStart w:colFirst="0" w:colLast="0" w:name="_g2paox44mshp" w:id="0"/>
      <w:bookmarkEnd w:id="0"/>
      <w:r w:rsidDel="00000000" w:rsidR="00000000" w:rsidRPr="00000000">
        <w:rPr>
          <w:rFonts w:ascii="Times New Roman" w:cs="Times New Roman" w:eastAsia="Times New Roman" w:hAnsi="Times New Roman"/>
          <w:b w:val="1"/>
          <w:bCs w:val="1"/>
          <w:sz w:val="24"/>
          <w:szCs w:val="24"/>
          <w:rtl w:val="0"/>
        </w:rPr>
        <w:t xml:space="preserve">SCHEDULE-3:                                                                                                                                                                                        GUIDANCE NOTE ON CONFLICT OF INTEREST</w:t>
      </w:r>
    </w:p>
    <w:p w:rsidR="00000000" w:rsidDel="00000000" w:rsidP="00000000" w:rsidRDefault="00000000" w:rsidRPr="00000000" w14:paraId="00000002">
      <w:pPr>
        <w:widowControl w:val="0"/>
        <w:spacing w:before="23"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3">
      <w:pPr>
        <w:widowControl w:val="0"/>
        <w:spacing w:before="1" w:line="240" w:lineRule="auto"/>
        <w:ind w:left="2596" w:right="2735" w:firstLine="0"/>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(Refer Clause 1</w:t>
      </w:r>
      <w:hyperlink r:id="rId6">
        <w:r w:rsidDel="00000000" w:rsidR="00000000" w:rsidRPr="00000000">
          <w:rPr>
            <w:rFonts w:ascii="Times New Roman" w:cs="Times New Roman" w:eastAsia="Times New Roman" w:hAnsi="Times New Roman"/>
            <w:i w:val="1"/>
            <w:iCs w:val="1"/>
            <w:sz w:val="24"/>
            <w:szCs w:val="24"/>
            <w:rtl w:val="0"/>
          </w:rPr>
          <w:t xml:space="preserve">.5</w:t>
        </w:r>
      </w:hyperlink>
      <w:r w:rsidDel="00000000" w:rsidR="00000000" w:rsidRPr="00000000">
        <w:rPr>
          <w:rFonts w:ascii="Times New Roman" w:cs="Times New Roman" w:eastAsia="Times New Roman" w:hAnsi="Times New Roman"/>
          <w:i w:val="1"/>
          <w:iCs w:val="1"/>
          <w:sz w:val="24"/>
          <w:szCs w:val="24"/>
          <w:rtl w:val="0"/>
        </w:rPr>
        <w:t xml:space="preserve">)</w:t>
      </w:r>
    </w:p>
    <w:p w:rsidR="00000000" w:rsidDel="00000000" w:rsidP="00000000" w:rsidRDefault="00000000" w:rsidRPr="00000000" w14:paraId="00000004">
      <w:pPr>
        <w:widowControl w:val="0"/>
        <w:spacing w:before="43" w:line="24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05">
      <w:pPr>
        <w:widowControl w:val="0"/>
        <w:numPr>
          <w:ilvl w:val="0"/>
          <w:numId w:val="4"/>
        </w:numPr>
        <w:tabs>
          <w:tab w:val="left" w:leader="none" w:pos="1145"/>
          <w:tab w:val="left" w:leader="none" w:pos="1147"/>
        </w:tabs>
        <w:spacing w:after="120" w:before="240" w:line="276" w:lineRule="auto"/>
        <w:ind w:left="566.9291338582678" w:right="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Note further explains and illustrates the provisions of Clause 1.5 of the RFE and shall be read together therewith in dealing with specific cases.</w:t>
      </w:r>
    </w:p>
    <w:p w:rsidR="00000000" w:rsidDel="00000000" w:rsidP="00000000" w:rsidRDefault="00000000" w:rsidRPr="00000000" w14:paraId="00000006">
      <w:pPr>
        <w:widowControl w:val="0"/>
        <w:numPr>
          <w:ilvl w:val="0"/>
          <w:numId w:val="4"/>
        </w:numPr>
        <w:tabs>
          <w:tab w:val="left" w:leader="none" w:pos="1145"/>
          <w:tab w:val="left" w:leader="none" w:pos="1147"/>
        </w:tabs>
        <w:spacing w:after="120" w:before="240" w:line="276" w:lineRule="auto"/>
        <w:ind w:left="566.9291338582678" w:right="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Survey Firms should be deemed to be in a conflict of interest situation if it can be reasonably concluded that their position in a business or their personal interest could improperly influence their judgment in the exercise of their duties. The process for selection of survey firms should avoid both actual and perceived conflict of interest.</w:t>
      </w:r>
    </w:p>
    <w:p w:rsidR="00000000" w:rsidDel="00000000" w:rsidP="00000000" w:rsidRDefault="00000000" w:rsidRPr="00000000" w14:paraId="00000007">
      <w:pPr>
        <w:widowControl w:val="0"/>
        <w:numPr>
          <w:ilvl w:val="0"/>
          <w:numId w:val="4"/>
        </w:numPr>
        <w:tabs>
          <w:tab w:val="left" w:leader="none" w:pos="1145"/>
          <w:tab w:val="left" w:leader="none" w:pos="1147"/>
        </w:tabs>
        <w:spacing w:after="120" w:afterAutospacing="0" w:before="240" w:line="276" w:lineRule="auto"/>
        <w:ind w:left="566.9291338582678" w:right="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Conflict of interest may arise between the Authority and a Survey Firm or between Survey Firms and present or future contractors. Some of the situations that would involve conflict of interest are identified below:</w:t>
      </w:r>
    </w:p>
    <w:p w:rsidR="00000000" w:rsidDel="00000000" w:rsidP="00000000" w:rsidRDefault="00000000" w:rsidRPr="00000000" w14:paraId="00000008">
      <w:pPr>
        <w:widowControl w:val="0"/>
        <w:numPr>
          <w:ilvl w:val="0"/>
          <w:numId w:val="2"/>
        </w:numPr>
        <w:tabs>
          <w:tab w:val="left" w:leader="none" w:pos="1145"/>
          <w:tab w:val="left" w:leader="none" w:pos="1147"/>
        </w:tabs>
        <w:spacing w:after="0" w:afterAutospacing="0" w:before="120" w:beforeAutospacing="0" w:line="276" w:lineRule="auto"/>
        <w:ind w:left="992.1259842519685" w:right="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Authority and consultants:</w:t>
      </w:r>
    </w:p>
    <w:p w:rsidR="00000000" w:rsidDel="00000000" w:rsidP="00000000" w:rsidRDefault="00000000" w:rsidRPr="00000000" w14:paraId="00000009">
      <w:pPr>
        <w:widowControl w:val="0"/>
        <w:numPr>
          <w:ilvl w:val="0"/>
          <w:numId w:val="3"/>
        </w:numPr>
        <w:tabs>
          <w:tab w:val="left" w:leader="none" w:pos="1145"/>
          <w:tab w:val="left" w:leader="none" w:pos="1147"/>
        </w:tabs>
        <w:spacing w:after="0" w:afterAutospacing="0" w:line="276" w:lineRule="auto"/>
        <w:ind w:left="1842.5196850393697" w:right="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Potential consultant should not be privy to information from the Authority which is not available to others;</w:t>
      </w:r>
    </w:p>
    <w:p w:rsidR="00000000" w:rsidDel="00000000" w:rsidP="00000000" w:rsidRDefault="00000000" w:rsidRPr="00000000" w14:paraId="0000000A">
      <w:pPr>
        <w:widowControl w:val="0"/>
        <w:numPr>
          <w:ilvl w:val="0"/>
          <w:numId w:val="3"/>
        </w:numPr>
        <w:tabs>
          <w:tab w:val="left" w:leader="none" w:pos="1145"/>
          <w:tab w:val="left" w:leader="none" w:pos="1147"/>
        </w:tabs>
        <w:spacing w:after="0" w:afterAutospacing="0" w:line="276" w:lineRule="auto"/>
        <w:ind w:left="1842.5196850393697" w:right="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Potential Survey Firm should not have defined the project when earlier working for the Authority;</w:t>
      </w:r>
    </w:p>
    <w:p w:rsidR="00000000" w:rsidDel="00000000" w:rsidP="00000000" w:rsidRDefault="00000000" w:rsidRPr="00000000" w14:paraId="0000000B">
      <w:pPr>
        <w:widowControl w:val="0"/>
        <w:numPr>
          <w:ilvl w:val="0"/>
          <w:numId w:val="3"/>
        </w:numPr>
        <w:tabs>
          <w:tab w:val="left" w:leader="none" w:pos="1145"/>
          <w:tab w:val="left" w:leader="none" w:pos="1147"/>
        </w:tabs>
        <w:spacing w:after="200" w:afterAutospacing="0" w:line="276" w:lineRule="auto"/>
        <w:ind w:left="1842.5196850393697" w:right="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Potential Survey Firm should not have recently worked for the Authority overseeing the project.</w:t>
      </w:r>
    </w:p>
    <w:p w:rsidR="00000000" w:rsidDel="00000000" w:rsidP="00000000" w:rsidRDefault="00000000" w:rsidRPr="00000000" w14:paraId="0000000C">
      <w:pPr>
        <w:widowControl w:val="0"/>
        <w:numPr>
          <w:ilvl w:val="0"/>
          <w:numId w:val="2"/>
        </w:numPr>
        <w:tabs>
          <w:tab w:val="left" w:leader="none" w:pos="1145"/>
          <w:tab w:val="left" w:leader="none" w:pos="1147"/>
        </w:tabs>
        <w:spacing w:after="0" w:afterAutospacing="0" w:before="200" w:beforeAutospacing="0" w:line="276" w:lineRule="auto"/>
        <w:ind w:left="992.1259842519685" w:right="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Survey Firms and contractors:</w:t>
      </w:r>
    </w:p>
    <w:p w:rsidR="00000000" w:rsidDel="00000000" w:rsidP="00000000" w:rsidRDefault="00000000" w:rsidRPr="00000000" w14:paraId="0000000D">
      <w:pPr>
        <w:widowControl w:val="0"/>
        <w:numPr>
          <w:ilvl w:val="0"/>
          <w:numId w:val="7"/>
        </w:numPr>
        <w:tabs>
          <w:tab w:val="left" w:leader="none" w:pos="1145"/>
          <w:tab w:val="left" w:leader="none" w:pos="1147"/>
        </w:tabs>
        <w:spacing w:after="0" w:afterAutospacing="0" w:line="276" w:lineRule="auto"/>
        <w:ind w:left="1842.5196850393697" w:right="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Survey Firm should have an ownership interest or a continuing business interest or an on-going relationship with a potential contractor save and except relationships restricted to project-specific and short-term assignments; or</w:t>
      </w:r>
    </w:p>
    <w:p w:rsidR="00000000" w:rsidDel="00000000" w:rsidP="00000000" w:rsidRDefault="00000000" w:rsidRPr="00000000" w14:paraId="0000000E">
      <w:pPr>
        <w:widowControl w:val="0"/>
        <w:numPr>
          <w:ilvl w:val="0"/>
          <w:numId w:val="7"/>
        </w:numPr>
        <w:tabs>
          <w:tab w:val="left" w:leader="none" w:pos="1145"/>
          <w:tab w:val="left" w:leader="none" w:pos="1147"/>
        </w:tabs>
        <w:spacing w:after="0" w:afterAutospacing="0" w:line="276" w:lineRule="auto"/>
        <w:ind w:left="1842.5196850393697" w:right="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Survey Firm should be involved in owning or operating entities resulting from the project; or</w:t>
      </w:r>
    </w:p>
    <w:p w:rsidR="00000000" w:rsidDel="00000000" w:rsidP="00000000" w:rsidRDefault="00000000" w:rsidRPr="00000000" w14:paraId="0000000F">
      <w:pPr>
        <w:widowControl w:val="0"/>
        <w:numPr>
          <w:ilvl w:val="0"/>
          <w:numId w:val="7"/>
        </w:numPr>
        <w:tabs>
          <w:tab w:val="left" w:leader="none" w:pos="1145"/>
          <w:tab w:val="left" w:leader="none" w:pos="1147"/>
        </w:tabs>
        <w:spacing w:after="120" w:line="276" w:lineRule="auto"/>
        <w:ind w:left="1842.5196850393697" w:right="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Survey Firm should bid for works arising from the project.</w:t>
      </w:r>
    </w:p>
    <w:p w:rsidR="00000000" w:rsidDel="00000000" w:rsidP="00000000" w:rsidRDefault="00000000" w:rsidRPr="00000000" w14:paraId="00000010">
      <w:pPr>
        <w:widowControl w:val="0"/>
        <w:tabs>
          <w:tab w:val="left" w:leader="none" w:pos="1145"/>
          <w:tab w:val="left" w:leader="none" w:pos="1147"/>
        </w:tabs>
        <w:spacing w:after="120" w:before="240" w:line="276" w:lineRule="auto"/>
        <w:ind w:left="566.9291338582678" w:right="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participation of companies that may be involved as investors or consumers and officials of the Authority who have current or recent connections to the companies involved, therefore, needs to be avoided.</w:t>
      </w:r>
    </w:p>
    <w:p w:rsidR="00000000" w:rsidDel="00000000" w:rsidP="00000000" w:rsidRDefault="00000000" w:rsidRPr="00000000" w14:paraId="00000011">
      <w:pPr>
        <w:widowControl w:val="0"/>
        <w:numPr>
          <w:ilvl w:val="0"/>
          <w:numId w:val="4"/>
        </w:numPr>
        <w:tabs>
          <w:tab w:val="left" w:leader="none" w:pos="1145"/>
          <w:tab w:val="left" w:leader="none" w:pos="1147"/>
        </w:tabs>
        <w:spacing w:after="120" w:before="240" w:line="276" w:lineRule="auto"/>
        <w:ind w:left="566.9291338582678" w:right="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normal way to identify conflicts of interest is through self-declaration by Survey Firms. Where a conflict exists, which has not been declared, competing companies are likely to bring this to the notice of the Authority. All conflicts must be declared as and when the consultants become aware of them.</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principle of </w:t>
      </w:r>
      <w:r w:rsidDel="00000000" w:rsidR="00000000" w:rsidRPr="00000000">
        <w:rPr>
          <w:rFonts w:ascii="Times New Roman" w:cs="Times New Roman" w:eastAsia="Times New Roman" w:hAnsi="Times New Roman"/>
          <w:i w:val="1"/>
          <w:iCs w:val="1"/>
          <w:sz w:val="24"/>
          <w:szCs w:val="24"/>
          <w:rtl w:val="0"/>
        </w:rPr>
        <w:t xml:space="preserve">Uberrimae Fidei</w:t>
      </w:r>
      <w:r w:rsidDel="00000000" w:rsidR="00000000" w:rsidRPr="00000000">
        <w:rPr>
          <w:rFonts w:ascii="Times New Roman" w:cs="Times New Roman" w:eastAsia="Times New Roman" w:hAnsi="Times New Roman"/>
          <w:sz w:val="24"/>
          <w:szCs w:val="24"/>
          <w:rtl w:val="0"/>
        </w:rPr>
        <w:t xml:space="preserve"> will be applicable to the voluntary disclosure of the applicant regarding conflict of interest which has to ensure the highest standard of good faith during the disclosure of all material facts that could influence the decision of the other party.</w:t>
      </w:r>
    </w:p>
    <w:p w:rsidR="00000000" w:rsidDel="00000000" w:rsidP="00000000" w:rsidRDefault="00000000" w:rsidRPr="00000000" w14:paraId="00000012">
      <w:pPr>
        <w:widowControl w:val="0"/>
        <w:numPr>
          <w:ilvl w:val="0"/>
          <w:numId w:val="4"/>
        </w:numPr>
        <w:tabs>
          <w:tab w:val="left" w:leader="none" w:pos="1145"/>
          <w:tab w:val="left" w:leader="none" w:pos="1147"/>
        </w:tabs>
        <w:spacing w:after="120" w:before="240" w:line="276" w:lineRule="auto"/>
        <w:ind w:left="566.9291338582678" w:right="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approach towards avoiding a conflict of interest is through the use of “Chinese walls” to avoid the flow of commercially sensitive information from one part of the consultant’s company to another. This could help overcome the problem of availability of limited numbers of experts for the project. However, in reality effective operation of “Chinese walls” may be a difficult proposition. As a general rule, larger companies will be more capable of adopting the Chinese walls approach than smaller companies. Although “Chinese walls” have been relatively common for many years, they are an increasingly discredited means of avoiding conflicts of interest and should be considered with caution. As a rule, “Chinese walls” should be considered as unacceptable and may be accepted only in exceptional cases upon full disclosure by a consultant coupled with provision of safeguards to the satisfaction of the Authority.</w:t>
      </w:r>
    </w:p>
    <w:p w:rsidR="00000000" w:rsidDel="00000000" w:rsidP="00000000" w:rsidRDefault="00000000" w:rsidRPr="00000000" w14:paraId="00000013">
      <w:pPr>
        <w:widowControl w:val="0"/>
        <w:numPr>
          <w:ilvl w:val="0"/>
          <w:numId w:val="4"/>
        </w:numPr>
        <w:tabs>
          <w:tab w:val="left" w:leader="none" w:pos="1145"/>
          <w:tab w:val="left" w:leader="none" w:pos="1147"/>
        </w:tabs>
        <w:spacing w:after="120" w:before="240" w:line="276" w:lineRule="auto"/>
        <w:ind w:left="566.9291338582678" w:right="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way to avoid conflicts of interest is through the appropriate grouping of tasks. For example, conflicts may arise if consultants drawing up the terms of reference or the proposed documentation are also eligible for the consequent assignment or project.</w:t>
      </w:r>
    </w:p>
    <w:p w:rsidR="00000000" w:rsidDel="00000000" w:rsidP="00000000" w:rsidRDefault="00000000" w:rsidRPr="00000000" w14:paraId="00000014">
      <w:pPr>
        <w:widowControl w:val="0"/>
        <w:numPr>
          <w:ilvl w:val="0"/>
          <w:numId w:val="4"/>
        </w:numPr>
        <w:tabs>
          <w:tab w:val="left" w:leader="none" w:pos="1145"/>
          <w:tab w:val="left" w:leader="none" w:pos="1147"/>
        </w:tabs>
        <w:spacing w:after="120" w:before="240" w:line="276" w:lineRule="auto"/>
        <w:ind w:left="566.9291338582678" w:right="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form of conflict of interest called “scope–creep” arises when consultants advocate either an unnecessary broadening of the terms of reference or make recommendations which are not in the best interests of the Authority but which will generate further work for the Survey Firms. Some forms of contractual arrangements are more likely to lead to scope-creep. For example, lump-sum contracts provide fewer incentives for this, while time and material contracts provide built-in incentives for Survey Firms to extend the length of their assignment.</w:t>
      </w:r>
    </w:p>
    <w:p w:rsidR="00000000" w:rsidDel="00000000" w:rsidP="00000000" w:rsidRDefault="00000000" w:rsidRPr="00000000" w14:paraId="00000015">
      <w:pPr>
        <w:widowControl w:val="0"/>
        <w:numPr>
          <w:ilvl w:val="0"/>
          <w:numId w:val="4"/>
        </w:numPr>
        <w:tabs>
          <w:tab w:val="left" w:leader="none" w:pos="1145"/>
          <w:tab w:val="left" w:leader="none" w:pos="1147"/>
        </w:tabs>
        <w:spacing w:after="120" w:before="240" w:line="276" w:lineRule="auto"/>
        <w:ind w:left="566.9291338582678" w:right="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Every project contains potential conflicts of interest. Survey Firms should not only avoid any conflict of interest but should also report any present/ potential conflict of interest to the Authority at the earliest. Officials of the Authority involved in development of a project shall be responsible for identifying and resolving any conflicts of interest. It should be ensured that safeguards are in place to preserve fair and open competition and measures should be taken to eliminate any conflict of interest arising at any stage in the process.</w:t>
      </w:r>
    </w:p>
    <w:p w:rsidR="00000000" w:rsidDel="00000000" w:rsidP="00000000" w:rsidRDefault="00000000" w:rsidRPr="00000000" w14:paraId="00000016">
      <w:pPr>
        <w:widowControl w:val="0"/>
        <w:numPr>
          <w:ilvl w:val="0"/>
          <w:numId w:val="4"/>
        </w:numPr>
        <w:tabs>
          <w:tab w:val="left" w:leader="none" w:pos="1145"/>
          <w:tab w:val="left" w:leader="none" w:pos="1147"/>
        </w:tabs>
        <w:spacing w:after="120" w:afterAutospacing="0" w:before="240" w:line="276" w:lineRule="auto"/>
        <w:ind w:left="566.9291338582678" w:right="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Without limiting the generality of the above and Section 1.5, an Applicant shall be deemed to have a Conflict of Interest affecting the Selection Process, if:</w:t>
      </w:r>
    </w:p>
    <w:p w:rsidR="00000000" w:rsidDel="00000000" w:rsidP="00000000" w:rsidRDefault="00000000" w:rsidRPr="00000000" w14:paraId="00000017">
      <w:pPr>
        <w:widowControl w:val="0"/>
        <w:numPr>
          <w:ilvl w:val="0"/>
          <w:numId w:val="6"/>
        </w:numPr>
        <w:tabs>
          <w:tab w:val="left" w:leader="none" w:pos="1145"/>
          <w:tab w:val="left" w:leader="none" w:pos="1147"/>
        </w:tabs>
        <w:spacing w:after="0" w:afterAutospacing="0" w:before="120" w:beforeAutospacing="0" w:line="276" w:lineRule="auto"/>
        <w:ind w:left="720" w:right="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Conflicting Associations:</w:t>
      </w:r>
    </w:p>
    <w:p w:rsidR="00000000" w:rsidDel="00000000" w:rsidP="00000000" w:rsidRDefault="00000000" w:rsidRPr="00000000" w14:paraId="00000018">
      <w:pPr>
        <w:widowControl w:val="0"/>
        <w:numPr>
          <w:ilvl w:val="0"/>
          <w:numId w:val="5"/>
        </w:numPr>
        <w:tabs>
          <w:tab w:val="left" w:leader="none" w:pos="1145"/>
          <w:tab w:val="left" w:leader="none" w:pos="1147"/>
        </w:tabs>
        <w:spacing w:after="0" w:afterAutospacing="0" w:before="0" w:beforeAutospacing="0" w:line="276" w:lineRule="auto"/>
        <w:ind w:left="1133.858267716535" w:right="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directly or indirectly controls, is controlled by or is under common control with another Applicant; or</w:t>
      </w:r>
    </w:p>
    <w:p w:rsidR="00000000" w:rsidDel="00000000" w:rsidP="00000000" w:rsidRDefault="00000000" w:rsidRPr="00000000" w14:paraId="00000019">
      <w:pPr>
        <w:widowControl w:val="0"/>
        <w:numPr>
          <w:ilvl w:val="0"/>
          <w:numId w:val="5"/>
        </w:numPr>
        <w:tabs>
          <w:tab w:val="left" w:leader="none" w:pos="1145"/>
          <w:tab w:val="left" w:leader="none" w:pos="1147"/>
        </w:tabs>
        <w:spacing w:after="0" w:afterAutospacing="0" w:before="0" w:beforeAutospacing="0" w:line="276" w:lineRule="auto"/>
        <w:ind w:left="1133.858267716535" w:right="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receives or has received any direct or indirect subsidy/ financial stake from another Applicant; or</w:t>
      </w:r>
    </w:p>
    <w:p w:rsidR="00000000" w:rsidDel="00000000" w:rsidP="00000000" w:rsidRDefault="00000000" w:rsidRPr="00000000" w14:paraId="0000001A">
      <w:pPr>
        <w:widowControl w:val="0"/>
        <w:numPr>
          <w:ilvl w:val="0"/>
          <w:numId w:val="5"/>
        </w:numPr>
        <w:tabs>
          <w:tab w:val="left" w:leader="none" w:pos="1145"/>
          <w:tab w:val="left" w:leader="none" w:pos="1147"/>
        </w:tabs>
        <w:spacing w:after="0" w:afterAutospacing="0" w:before="0" w:beforeAutospacing="0" w:line="276" w:lineRule="auto"/>
        <w:ind w:left="1133.858267716535" w:right="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has the same correspondence address or same legal representative/ agent as another applicant for purposes of this proposal; or</w:t>
      </w:r>
    </w:p>
    <w:p w:rsidR="00000000" w:rsidDel="00000000" w:rsidP="00000000" w:rsidRDefault="00000000" w:rsidRPr="00000000" w14:paraId="0000001B">
      <w:pPr>
        <w:widowControl w:val="0"/>
        <w:numPr>
          <w:ilvl w:val="0"/>
          <w:numId w:val="5"/>
        </w:numPr>
        <w:tabs>
          <w:tab w:val="left" w:leader="none" w:pos="1145"/>
          <w:tab w:val="left" w:leader="none" w:pos="1147"/>
        </w:tabs>
        <w:spacing w:after="200" w:line="276" w:lineRule="auto"/>
        <w:ind w:left="1133.858267716535" w:right="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has a relationship with another applicant, directly or through common third parties, that puts it in a position to have access to information about or influence the Proposal of another applicant or influence the decisions of the Authority regarding this Procurement Process; or</w:t>
      </w:r>
    </w:p>
    <w:p w:rsidR="00000000" w:rsidDel="00000000" w:rsidP="00000000" w:rsidRDefault="00000000" w:rsidRPr="00000000" w14:paraId="0000001C">
      <w:pPr>
        <w:widowControl w:val="0"/>
        <w:numPr>
          <w:ilvl w:val="0"/>
          <w:numId w:val="6"/>
        </w:numPr>
        <w:tabs>
          <w:tab w:val="left" w:leader="none" w:pos="1145"/>
          <w:tab w:val="left" w:leader="none" w:pos="1147"/>
        </w:tabs>
        <w:spacing w:after="200" w:line="276" w:lineRule="auto"/>
        <w:ind w:left="720" w:right="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Unfair Competitive Advantage and Conflicting Activities:</w:t>
      </w:r>
      <w:r w:rsidDel="00000000" w:rsidR="00000000" w:rsidRPr="00000000">
        <w:rPr>
          <w:rFonts w:ascii="Times New Roman" w:cs="Times New Roman" w:eastAsia="Times New Roman" w:hAnsi="Times New Roman"/>
          <w:sz w:val="24"/>
          <w:szCs w:val="24"/>
          <w:rtl w:val="0"/>
        </w:rPr>
        <w:t xml:space="preserve"> had (or any of its Affiliates) been engaged by the Authority to provide goods, works, or services for a project, shall be disqualified from providing consulting services resulting from or directly related to those goods, works, or services. Conversely, a firm (or any of its Affiliates) hired to provide consulting services for the preparation or implementation of a project shall be disqualified from subsequently providing goods or works or services resulting from or directly related to the consulting services for such preparation or implementation or</w:t>
      </w:r>
    </w:p>
    <w:p w:rsidR="00000000" w:rsidDel="00000000" w:rsidP="00000000" w:rsidRDefault="00000000" w:rsidRPr="00000000" w14:paraId="0000001D">
      <w:pPr>
        <w:widowControl w:val="0"/>
        <w:numPr>
          <w:ilvl w:val="0"/>
          <w:numId w:val="6"/>
        </w:numPr>
        <w:tabs>
          <w:tab w:val="left" w:leader="none" w:pos="1145"/>
          <w:tab w:val="left" w:leader="none" w:pos="1147"/>
        </w:tabs>
        <w:spacing w:after="200" w:line="276" w:lineRule="auto"/>
        <w:ind w:left="720" w:right="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Conflicting Assignments</w:t>
      </w:r>
      <w:r w:rsidDel="00000000" w:rsidR="00000000" w:rsidRPr="00000000">
        <w:rPr>
          <w:rFonts w:ascii="Times New Roman" w:cs="Times New Roman" w:eastAsia="Times New Roman" w:hAnsi="Times New Roman"/>
          <w:sz w:val="24"/>
          <w:szCs w:val="24"/>
          <w:rtl w:val="0"/>
        </w:rPr>
        <w:t xml:space="preserve">: would (including its Experts or any of its Affiliates) be or are providing consultancy services in another assignment for the same or another Authority that, by its nature, may conflict with this assignment.</w:t>
      </w:r>
    </w:p>
    <w:p w:rsidR="00000000" w:rsidDel="00000000" w:rsidP="00000000" w:rsidRDefault="00000000" w:rsidRPr="00000000" w14:paraId="0000001E">
      <w:pPr>
        <w:widowControl w:val="0"/>
        <w:numPr>
          <w:ilvl w:val="0"/>
          <w:numId w:val="6"/>
        </w:numPr>
        <w:tabs>
          <w:tab w:val="left" w:leader="none" w:pos="1145"/>
          <w:tab w:val="left" w:leader="none" w:pos="1147"/>
        </w:tabs>
        <w:spacing w:after="200" w:afterAutospacing="0" w:line="276" w:lineRule="auto"/>
        <w:ind w:left="720" w:right="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Commissions and Gratuities: </w:t>
      </w:r>
      <w:r w:rsidDel="00000000" w:rsidR="00000000" w:rsidRPr="00000000">
        <w:rPr>
          <w:rFonts w:ascii="Times New Roman" w:cs="Times New Roman" w:eastAsia="Times New Roman" w:hAnsi="Times New Roman"/>
          <w:sz w:val="24"/>
          <w:szCs w:val="24"/>
          <w:rtl w:val="0"/>
        </w:rPr>
        <w:t xml:space="preserve">The Applicant shall disclose any commissions or fees that may have been paid or are to be paid to agents, representatives, or commission agents concerning the selection process or execution and performance of the resulting Contract. The information disclosed must include the name and address of the agent, representative, or commission agent, the amount and currency, and the purpose of the commission or fee.; or</w:t>
      </w:r>
    </w:p>
    <w:p w:rsidR="00000000" w:rsidDel="00000000" w:rsidP="00000000" w:rsidRDefault="00000000" w:rsidRPr="00000000" w14:paraId="0000001F">
      <w:pPr>
        <w:widowControl w:val="0"/>
        <w:numPr>
          <w:ilvl w:val="0"/>
          <w:numId w:val="6"/>
        </w:numPr>
        <w:tabs>
          <w:tab w:val="left" w:leader="none" w:pos="1145"/>
          <w:tab w:val="left" w:leader="none" w:pos="1147"/>
        </w:tabs>
        <w:spacing w:after="0" w:afterAutospacing="0" w:before="200" w:beforeAutospacing="0" w:line="276" w:lineRule="auto"/>
        <w:ind w:left="720" w:right="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Conflicting Relationships:</w:t>
      </w:r>
      <w:r w:rsidDel="00000000" w:rsidR="00000000" w:rsidRPr="00000000">
        <w:rPr>
          <w:rFonts w:ascii="Times New Roman" w:cs="Times New Roman" w:eastAsia="Times New Roman" w:hAnsi="Times New Roman"/>
          <w:sz w:val="24"/>
          <w:szCs w:val="24"/>
          <w:rtl w:val="0"/>
        </w:rPr>
        <w:t xml:space="preserve"> has close business/ family relationship with a staff of the Authority who are/ would be directly/ indirectly involved in any of the following activities:</w:t>
      </w:r>
    </w:p>
    <w:p w:rsidR="00000000" w:rsidDel="00000000" w:rsidP="00000000" w:rsidRDefault="00000000" w:rsidRPr="00000000" w14:paraId="00000020">
      <w:pPr>
        <w:widowControl w:val="0"/>
        <w:numPr>
          <w:ilvl w:val="0"/>
          <w:numId w:val="1"/>
        </w:numPr>
        <w:tabs>
          <w:tab w:val="left" w:leader="none" w:pos="1145"/>
          <w:tab w:val="left" w:leader="none" w:pos="1147"/>
        </w:tabs>
        <w:spacing w:before="0" w:beforeAutospacing="0" w:line="276" w:lineRule="auto"/>
        <w:ind w:left="1133.858267716535" w:right="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Preparation of the RFE document or ToR of the procurement process</w:t>
      </w:r>
    </w:p>
    <w:p w:rsidR="00000000" w:rsidDel="00000000" w:rsidP="00000000" w:rsidRDefault="00000000" w:rsidRPr="00000000" w14:paraId="00000021">
      <w:pPr>
        <w:widowControl w:val="0"/>
        <w:numPr>
          <w:ilvl w:val="0"/>
          <w:numId w:val="1"/>
        </w:numPr>
        <w:tabs>
          <w:tab w:val="left" w:leader="none" w:pos="1145"/>
          <w:tab w:val="left" w:leader="none" w:pos="1147"/>
        </w:tabs>
        <w:spacing w:line="276" w:lineRule="auto"/>
        <w:ind w:left="1133.858267716535" w:right="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Evaluation of Proposals or Award of Contract, or</w:t>
      </w:r>
    </w:p>
    <w:p w:rsidR="00000000" w:rsidDel="00000000" w:rsidP="00000000" w:rsidRDefault="00000000" w:rsidRPr="00000000" w14:paraId="00000022">
      <w:pPr>
        <w:widowControl w:val="0"/>
        <w:numPr>
          <w:ilvl w:val="0"/>
          <w:numId w:val="1"/>
        </w:numPr>
        <w:tabs>
          <w:tab w:val="left" w:leader="none" w:pos="1145"/>
          <w:tab w:val="left" w:leader="none" w:pos="1147"/>
        </w:tabs>
        <w:spacing w:after="200" w:line="276" w:lineRule="auto"/>
        <w:ind w:left="1133.858267716535" w:right="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Implementation/supervision of the resulting contract</w:t>
      </w:r>
    </w:p>
    <w:p w:rsidR="00000000" w:rsidDel="00000000" w:rsidP="00000000" w:rsidRDefault="00000000" w:rsidRPr="00000000" w14:paraId="00000023">
      <w:pPr>
        <w:widowControl w:val="0"/>
        <w:numPr>
          <w:ilvl w:val="0"/>
          <w:numId w:val="6"/>
        </w:numPr>
        <w:tabs>
          <w:tab w:val="left" w:leader="none" w:pos="1145"/>
          <w:tab w:val="left" w:leader="none" w:pos="1147"/>
        </w:tabs>
        <w:spacing w:after="200" w:afterAutospacing="0" w:line="276" w:lineRule="auto"/>
        <w:ind w:left="720" w:right="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For purposes of this RFE, Associate means, in relation to the Applicant, a person who controls, is controlled by, or is under the common control with such Applicant (the “</w:t>
      </w:r>
      <w:r w:rsidDel="00000000" w:rsidR="00000000" w:rsidRPr="00000000">
        <w:rPr>
          <w:rFonts w:ascii="Times New Roman" w:cs="Times New Roman" w:eastAsia="Times New Roman" w:hAnsi="Times New Roman"/>
          <w:b w:val="1"/>
          <w:bCs w:val="1"/>
          <w:sz w:val="24"/>
          <w:szCs w:val="24"/>
          <w:rtl w:val="0"/>
        </w:rPr>
        <w:t xml:space="preserve">Associate</w:t>
      </w:r>
      <w:r w:rsidDel="00000000" w:rsidR="00000000" w:rsidRPr="00000000">
        <w:rPr>
          <w:rFonts w:ascii="Times New Roman" w:cs="Times New Roman" w:eastAsia="Times New Roman" w:hAnsi="Times New Roman"/>
          <w:sz w:val="24"/>
          <w:szCs w:val="24"/>
          <w:rtl w:val="0"/>
        </w:rPr>
        <w:t xml:space="preserve">”). As used in this definition, the expression “control” means, with respect to a person which is a company or corporation, the ownership, directly or indirectly, of more than 50% (fifty per cent) of the voting shares of such person, and with respect to a person which is not a company or corporation, the power to direct the management and policies of such person by operation of law or by contract.</w:t>
      </w:r>
    </w:p>
    <w:p w:rsidR="00000000" w:rsidDel="00000000" w:rsidP="00000000" w:rsidRDefault="00000000" w:rsidRPr="00000000" w14:paraId="00000024">
      <w:pPr>
        <w:widowControl w:val="0"/>
        <w:numPr>
          <w:ilvl w:val="0"/>
          <w:numId w:val="6"/>
        </w:numPr>
        <w:tabs>
          <w:tab w:val="left" w:leader="none" w:pos="1145"/>
          <w:tab w:val="left" w:leader="none" w:pos="1147"/>
        </w:tabs>
        <w:spacing w:after="120" w:before="200" w:beforeAutospacing="0" w:line="276" w:lineRule="auto"/>
        <w:ind w:left="720" w:right="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Conflict of interest, for the process of determination, shall include presence of conflict, potential or actual, during one year preceding the last date of bid submission and shall include the factual conspectus related to the personnel specifically indicated as the lead professional of the project team termed as Team Lead/Principal Investigator. </w:t>
      </w:r>
    </w:p>
    <w:p w:rsidR="00000000" w:rsidDel="00000000" w:rsidP="00000000" w:rsidRDefault="00000000" w:rsidRPr="00000000" w14:paraId="00000025">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133.858267716535" w:hanging="359.9999999999999"/>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lowerLetter"/>
      <w:lvlText w:val="(%1)"/>
      <w:lvlJc w:val="left"/>
      <w:pPr>
        <w:ind w:left="992.1259842519685"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lowerRoman"/>
      <w:lvlText w:val="%1)"/>
      <w:lvlJc w:val="right"/>
      <w:pPr>
        <w:ind w:left="1842.5196850393697"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566.9291338582678" w:hanging="720"/>
      </w:pPr>
      <w:rPr>
        <w:u w:val="none"/>
      </w:rPr>
    </w:lvl>
    <w:lvl w:ilvl="1">
      <w:start w:val="1"/>
      <w:numFmt w:val="lowerLetter"/>
      <w:lvlText w:val="(%2)"/>
      <w:lvlJc w:val="left"/>
      <w:pPr>
        <w:ind w:left="1867" w:hanging="720"/>
      </w:pPr>
      <w:rPr>
        <w:u w:val="none"/>
      </w:rPr>
    </w:lvl>
    <w:lvl w:ilvl="2">
      <w:start w:val="1"/>
      <w:numFmt w:val="lowerRoman"/>
      <w:lvlText w:val="(%3)"/>
      <w:lvlJc w:val="left"/>
      <w:pPr>
        <w:ind w:left="2588" w:hanging="720.9999999999998"/>
      </w:pPr>
      <w:rPr>
        <w:u w:val="none"/>
      </w:rPr>
    </w:lvl>
    <w:lvl w:ilvl="3">
      <w:start w:val="0"/>
      <w:numFmt w:val="bullet"/>
      <w:lvlText w:val="•"/>
      <w:lvlJc w:val="left"/>
      <w:pPr>
        <w:ind w:left="3480" w:hanging="721"/>
      </w:pPr>
      <w:rPr>
        <w:u w:val="none"/>
      </w:rPr>
    </w:lvl>
    <w:lvl w:ilvl="4">
      <w:start w:val="0"/>
      <w:numFmt w:val="bullet"/>
      <w:lvlText w:val="•"/>
      <w:lvlJc w:val="left"/>
      <w:pPr>
        <w:ind w:left="4381" w:hanging="721"/>
      </w:pPr>
      <w:rPr>
        <w:u w:val="none"/>
      </w:rPr>
    </w:lvl>
    <w:lvl w:ilvl="5">
      <w:start w:val="0"/>
      <w:numFmt w:val="bullet"/>
      <w:lvlText w:val="•"/>
      <w:lvlJc w:val="left"/>
      <w:pPr>
        <w:ind w:left="5282" w:hanging="721"/>
      </w:pPr>
      <w:rPr>
        <w:u w:val="none"/>
      </w:rPr>
    </w:lvl>
    <w:lvl w:ilvl="6">
      <w:start w:val="0"/>
      <w:numFmt w:val="bullet"/>
      <w:lvlText w:val="•"/>
      <w:lvlJc w:val="left"/>
      <w:pPr>
        <w:ind w:left="6183" w:hanging="721.0000000000009"/>
      </w:pPr>
      <w:rPr>
        <w:u w:val="none"/>
      </w:rPr>
    </w:lvl>
    <w:lvl w:ilvl="7">
      <w:start w:val="0"/>
      <w:numFmt w:val="bullet"/>
      <w:lvlText w:val="•"/>
      <w:lvlJc w:val="left"/>
      <w:pPr>
        <w:ind w:left="7083" w:hanging="721.0000000000009"/>
      </w:pPr>
      <w:rPr>
        <w:u w:val="none"/>
      </w:rPr>
    </w:lvl>
    <w:lvl w:ilvl="8">
      <w:start w:val="0"/>
      <w:numFmt w:val="bullet"/>
      <w:lvlText w:val="•"/>
      <w:lvlJc w:val="left"/>
      <w:pPr>
        <w:ind w:left="7984" w:hanging="721"/>
      </w:pPr>
      <w:rPr>
        <w:u w:val="none"/>
      </w:rPr>
    </w:lvl>
  </w:abstractNum>
  <w:abstractNum w:abstractNumId="5">
    <w:lvl w:ilvl="0">
      <w:start w:val="1"/>
      <w:numFmt w:val="bullet"/>
      <w:lvlText w:val="●"/>
      <w:lvlJc w:val="left"/>
      <w:pPr>
        <w:ind w:left="1133.858267716535" w:hanging="359.9999999999999"/>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lvl w:ilvl="0">
      <w:start w:val="1"/>
      <w:numFmt w:val="lowerRoman"/>
      <w:lvlText w:val="%1)"/>
      <w:lvlJc w:val="right"/>
      <w:pPr>
        <w:ind w:left="1842.5196850393697"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document/d/1nrqAT1bhWUWQL-XZca57ku7fnLuAE1Wo/edit#heading=h.89u5z4red2z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